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7FE" w:rsidRDefault="00BF07FE" w:rsidP="00BF07FE">
      <w:pPr>
        <w:pStyle w:val="1"/>
        <w:rPr>
          <w:rFonts w:asciiTheme="majorEastAsia" w:eastAsiaTheme="majorEastAsia" w:hAnsiTheme="majorEastAsia" w:cs="Times New Roman"/>
          <w:b/>
          <w:sz w:val="36"/>
          <w:szCs w:val="32"/>
        </w:rPr>
      </w:pPr>
      <w:bookmarkStart w:id="0" w:name="_Toc12731"/>
      <w:r>
        <w:rPr>
          <w:rFonts w:asciiTheme="majorEastAsia" w:eastAsiaTheme="majorEastAsia" w:hAnsiTheme="majorEastAsia" w:cs="Times New Roman"/>
          <w:b/>
          <w:sz w:val="36"/>
          <w:szCs w:val="32"/>
        </w:rPr>
        <w:t>北京化工大学昌平校区电动自行车管理办法</w:t>
      </w:r>
      <w:bookmarkEnd w:id="0"/>
    </w:p>
    <w:p w:rsidR="00BF07FE" w:rsidRDefault="00BF07FE" w:rsidP="00BF07FE">
      <w:pPr>
        <w:rPr>
          <w:rFonts w:asciiTheme="majorEastAsia" w:eastAsiaTheme="majorEastAsia" w:hAnsiTheme="majorEastAsia" w:cs="Times New Roman"/>
          <w:b/>
          <w:sz w:val="36"/>
          <w:szCs w:val="32"/>
        </w:rPr>
      </w:pPr>
    </w:p>
    <w:p w:rsidR="00BF07FE" w:rsidRDefault="00BF07FE" w:rsidP="00BF07FE">
      <w:pPr>
        <w:ind w:firstLineChars="200" w:firstLine="640"/>
        <w:rPr>
          <w:rFonts w:ascii="仿宋" w:eastAsia="仿宋" w:hAnsi="仿宋" w:cs="Times New Roman"/>
          <w:sz w:val="32"/>
          <w:szCs w:val="32"/>
        </w:rPr>
      </w:pPr>
      <w:r>
        <w:rPr>
          <w:rFonts w:ascii="仿宋" w:eastAsia="仿宋" w:hAnsi="仿宋" w:cs="Times New Roman"/>
          <w:sz w:val="32"/>
          <w:szCs w:val="32"/>
        </w:rPr>
        <w:t>为规范昌平校区电动自行车使用管理，维护校园安全和交通秩序，创造规范、有序、和谐的校园环境，根据《北京化工大学校园机动车出入停放管理办法》（北化大校办发〔2016〕71号），结合校区实际，特制定本办法。</w:t>
      </w:r>
    </w:p>
    <w:p w:rsidR="00BF07FE" w:rsidRDefault="00BF07FE" w:rsidP="00BF07FE">
      <w:pPr>
        <w:rPr>
          <w:rFonts w:ascii="仿宋" w:eastAsia="仿宋" w:hAnsi="仿宋" w:cs="Times New Roman"/>
          <w:sz w:val="32"/>
          <w:szCs w:val="32"/>
        </w:rPr>
      </w:pPr>
      <w:r>
        <w:rPr>
          <w:rFonts w:ascii="仿宋" w:eastAsia="仿宋" w:hAnsi="仿宋" w:cs="Times New Roman"/>
          <w:sz w:val="32"/>
          <w:szCs w:val="32"/>
        </w:rPr>
        <w:t xml:space="preserve"> </w:t>
      </w:r>
    </w:p>
    <w:p w:rsidR="00BF07FE" w:rsidRDefault="00BF07FE" w:rsidP="00BF07FE">
      <w:pPr>
        <w:jc w:val="center"/>
        <w:rPr>
          <w:rFonts w:ascii="仿宋" w:eastAsia="仿宋" w:hAnsi="仿宋" w:cs="Times New Roman"/>
          <w:b/>
          <w:sz w:val="32"/>
          <w:szCs w:val="32"/>
        </w:rPr>
      </w:pPr>
      <w:r>
        <w:rPr>
          <w:rFonts w:ascii="仿宋" w:eastAsia="仿宋" w:hAnsi="仿宋" w:cs="Times New Roman"/>
          <w:b/>
          <w:sz w:val="32"/>
          <w:szCs w:val="32"/>
        </w:rPr>
        <w:t>第一章  车辆分类</w:t>
      </w:r>
    </w:p>
    <w:p w:rsidR="00BF07FE" w:rsidRDefault="00BF07FE" w:rsidP="00BF07FE">
      <w:pPr>
        <w:ind w:firstLineChars="200" w:firstLine="640"/>
        <w:rPr>
          <w:rFonts w:ascii="仿宋" w:eastAsia="仿宋" w:hAnsi="仿宋" w:cs="Times New Roman"/>
          <w:sz w:val="32"/>
          <w:szCs w:val="32"/>
        </w:rPr>
      </w:pPr>
      <w:r>
        <w:rPr>
          <w:rFonts w:ascii="仿宋" w:eastAsia="仿宋" w:hAnsi="仿宋" w:cs="Times New Roman"/>
          <w:sz w:val="32"/>
          <w:szCs w:val="32"/>
        </w:rPr>
        <w:t xml:space="preserve">一、本办法中电动自行车包含两轮、三轮电动自行车。 </w:t>
      </w:r>
    </w:p>
    <w:p w:rsidR="00BF07FE" w:rsidRDefault="00BF07FE" w:rsidP="00BF07FE">
      <w:pPr>
        <w:ind w:firstLineChars="200" w:firstLine="640"/>
        <w:rPr>
          <w:rFonts w:ascii="仿宋" w:eastAsia="仿宋" w:hAnsi="仿宋" w:cs="Times New Roman"/>
          <w:sz w:val="32"/>
          <w:szCs w:val="32"/>
        </w:rPr>
      </w:pPr>
      <w:r>
        <w:rPr>
          <w:rFonts w:ascii="仿宋" w:eastAsia="仿宋" w:hAnsi="仿宋" w:cs="Times New Roman"/>
          <w:sz w:val="32"/>
          <w:szCs w:val="32"/>
        </w:rPr>
        <w:t xml:space="preserve">二、根据用途，将电动自行车分为三类： </w:t>
      </w:r>
    </w:p>
    <w:p w:rsidR="00BF07FE" w:rsidRDefault="00BF07FE" w:rsidP="00BF07FE">
      <w:pPr>
        <w:ind w:firstLineChars="200" w:firstLine="640"/>
        <w:rPr>
          <w:rFonts w:ascii="仿宋" w:eastAsia="仿宋" w:hAnsi="仿宋" w:cs="Times New Roman"/>
          <w:sz w:val="32"/>
          <w:szCs w:val="32"/>
        </w:rPr>
      </w:pPr>
      <w:r>
        <w:rPr>
          <w:rFonts w:ascii="仿宋" w:eastAsia="仿宋" w:hAnsi="仿宋" w:cs="Times New Roman"/>
          <w:sz w:val="32"/>
          <w:szCs w:val="32"/>
        </w:rPr>
        <w:t xml:space="preserve">通勤类。此类电动自行车指我校教职员工用于校外居住地往返昌平校区工作途中的交通工具。 </w:t>
      </w:r>
    </w:p>
    <w:p w:rsidR="00BF07FE" w:rsidRDefault="00BF07FE" w:rsidP="00BF07FE">
      <w:pPr>
        <w:ind w:firstLineChars="200" w:firstLine="640"/>
        <w:rPr>
          <w:rFonts w:ascii="仿宋" w:eastAsia="仿宋" w:hAnsi="仿宋" w:cs="Times New Roman"/>
          <w:sz w:val="32"/>
          <w:szCs w:val="32"/>
        </w:rPr>
      </w:pPr>
      <w:r>
        <w:rPr>
          <w:rFonts w:ascii="仿宋" w:eastAsia="仿宋" w:hAnsi="仿宋" w:cs="Times New Roman"/>
          <w:sz w:val="32"/>
          <w:szCs w:val="32"/>
        </w:rPr>
        <w:t xml:space="preserve">公务类。此类电动自行车指昌平校区内各职能业务部门人员用于处理公共事务性工作。 </w:t>
      </w:r>
    </w:p>
    <w:p w:rsidR="00BF07FE" w:rsidRDefault="00BF07FE" w:rsidP="00BF07FE">
      <w:pPr>
        <w:ind w:firstLineChars="200" w:firstLine="640"/>
        <w:rPr>
          <w:rFonts w:ascii="仿宋" w:eastAsia="仿宋" w:hAnsi="仿宋" w:cs="Times New Roman"/>
          <w:sz w:val="32"/>
          <w:szCs w:val="32"/>
        </w:rPr>
      </w:pPr>
      <w:r>
        <w:rPr>
          <w:rFonts w:ascii="仿宋" w:eastAsia="仿宋" w:hAnsi="仿宋" w:cs="Times New Roman"/>
          <w:sz w:val="32"/>
          <w:szCs w:val="32"/>
        </w:rPr>
        <w:t xml:space="preserve">施工类。此类电动自行车指昌平校区建设施工单位用于校区工程建设施工和维护。 </w:t>
      </w:r>
    </w:p>
    <w:p w:rsidR="00BF07FE" w:rsidRDefault="00BF07FE" w:rsidP="00BF07FE">
      <w:pPr>
        <w:ind w:firstLineChars="200" w:firstLine="640"/>
        <w:rPr>
          <w:rFonts w:ascii="仿宋" w:eastAsia="仿宋" w:hAnsi="仿宋" w:cs="Times New Roman"/>
          <w:sz w:val="32"/>
          <w:szCs w:val="32"/>
        </w:rPr>
      </w:pPr>
      <w:r>
        <w:rPr>
          <w:rFonts w:ascii="仿宋" w:eastAsia="仿宋" w:hAnsi="仿宋" w:cs="Times New Roman"/>
          <w:sz w:val="32"/>
          <w:szCs w:val="32"/>
        </w:rPr>
        <w:t xml:space="preserve">车辆区分 </w:t>
      </w:r>
    </w:p>
    <w:p w:rsidR="00BF07FE" w:rsidRDefault="00BF07FE" w:rsidP="00BF07FE">
      <w:pPr>
        <w:ind w:firstLineChars="200" w:firstLine="640"/>
        <w:rPr>
          <w:rFonts w:ascii="仿宋" w:eastAsia="仿宋" w:hAnsi="仿宋" w:cs="Times New Roman"/>
          <w:sz w:val="32"/>
          <w:szCs w:val="32"/>
        </w:rPr>
      </w:pPr>
      <w:r>
        <w:rPr>
          <w:rFonts w:ascii="仿宋" w:eastAsia="仿宋" w:hAnsi="仿宋" w:cs="Times New Roman"/>
          <w:sz w:val="32"/>
          <w:szCs w:val="32"/>
        </w:rPr>
        <w:t xml:space="preserve">为明确标示，将电动自行车车牌分为三类，编号分段编码。示例如下：  </w:t>
      </w:r>
    </w:p>
    <w:p w:rsidR="00BF07FE" w:rsidRDefault="00BF07FE" w:rsidP="00BF07FE">
      <w:pPr>
        <w:rPr>
          <w:rFonts w:ascii="仿宋" w:eastAsia="仿宋" w:hAnsi="仿宋" w:cs="Times New Roman"/>
          <w:sz w:val="32"/>
          <w:szCs w:val="32"/>
        </w:rPr>
      </w:pPr>
      <w:r>
        <w:rPr>
          <w:rFonts w:ascii="仿宋" w:eastAsia="仿宋" w:hAnsi="仿宋" w:cs="Times New Roman"/>
          <w:noProof/>
          <w:sz w:val="32"/>
          <w:szCs w:val="32"/>
        </w:rPr>
        <w:drawing>
          <wp:inline distT="0" distB="0" distL="0" distR="0" wp14:anchorId="050B6AF4" wp14:editId="2212D015">
            <wp:extent cx="1360805" cy="817880"/>
            <wp:effectExtent l="0" t="0" r="0" b="0"/>
            <wp:docPr id="18" name="Picture 194"/>
            <wp:cNvGraphicFramePr/>
            <a:graphic xmlns:a="http://schemas.openxmlformats.org/drawingml/2006/main">
              <a:graphicData uri="http://schemas.openxmlformats.org/drawingml/2006/picture">
                <pic:pic xmlns:pic="http://schemas.openxmlformats.org/drawingml/2006/picture">
                  <pic:nvPicPr>
                    <pic:cNvPr id="18" name="Picture 194"/>
                    <pic:cNvPicPr/>
                  </pic:nvPicPr>
                  <pic:blipFill>
                    <a:blip r:embed="rId4" cstate="print"/>
                    <a:stretch>
                      <a:fillRect/>
                    </a:stretch>
                  </pic:blipFill>
                  <pic:spPr>
                    <a:xfrm>
                      <a:off x="0" y="0"/>
                      <a:ext cx="1360805" cy="817880"/>
                    </a:xfrm>
                    <a:prstGeom prst="rect">
                      <a:avLst/>
                    </a:prstGeom>
                  </pic:spPr>
                </pic:pic>
              </a:graphicData>
            </a:graphic>
          </wp:inline>
        </w:drawing>
      </w:r>
      <w:r>
        <w:rPr>
          <w:rFonts w:ascii="仿宋" w:eastAsia="仿宋" w:hAnsi="仿宋" w:cs="Times New Roman"/>
          <w:sz w:val="32"/>
          <w:szCs w:val="32"/>
        </w:rPr>
        <w:t xml:space="preserve">     </w:t>
      </w:r>
      <w:r>
        <w:rPr>
          <w:rFonts w:ascii="仿宋" w:eastAsia="仿宋" w:hAnsi="仿宋" w:cs="Times New Roman"/>
          <w:noProof/>
          <w:sz w:val="32"/>
          <w:szCs w:val="32"/>
        </w:rPr>
        <w:drawing>
          <wp:inline distT="0" distB="0" distL="0" distR="0" wp14:anchorId="46C58D5F" wp14:editId="23CD43E4">
            <wp:extent cx="1371600" cy="827405"/>
            <wp:effectExtent l="0" t="0" r="0" b="0"/>
            <wp:docPr id="19" name="Picture 197"/>
            <wp:cNvGraphicFramePr/>
            <a:graphic xmlns:a="http://schemas.openxmlformats.org/drawingml/2006/main">
              <a:graphicData uri="http://schemas.openxmlformats.org/drawingml/2006/picture">
                <pic:pic xmlns:pic="http://schemas.openxmlformats.org/drawingml/2006/picture">
                  <pic:nvPicPr>
                    <pic:cNvPr id="19" name="Picture 197"/>
                    <pic:cNvPicPr/>
                  </pic:nvPicPr>
                  <pic:blipFill>
                    <a:blip r:embed="rId5" cstate="print"/>
                    <a:stretch>
                      <a:fillRect/>
                    </a:stretch>
                  </pic:blipFill>
                  <pic:spPr>
                    <a:xfrm>
                      <a:off x="0" y="0"/>
                      <a:ext cx="1371600" cy="827405"/>
                    </a:xfrm>
                    <a:prstGeom prst="rect">
                      <a:avLst/>
                    </a:prstGeom>
                  </pic:spPr>
                </pic:pic>
              </a:graphicData>
            </a:graphic>
          </wp:inline>
        </w:drawing>
      </w:r>
      <w:r>
        <w:rPr>
          <w:rFonts w:ascii="仿宋" w:eastAsia="仿宋" w:hAnsi="仿宋" w:cs="Times New Roman"/>
          <w:sz w:val="32"/>
          <w:szCs w:val="32"/>
        </w:rPr>
        <w:t xml:space="preserve">     </w:t>
      </w:r>
      <w:r>
        <w:rPr>
          <w:rFonts w:ascii="仿宋" w:eastAsia="仿宋" w:hAnsi="仿宋" w:cs="Times New Roman"/>
          <w:noProof/>
          <w:sz w:val="32"/>
          <w:szCs w:val="32"/>
        </w:rPr>
        <w:drawing>
          <wp:inline distT="0" distB="0" distL="0" distR="0" wp14:anchorId="14B23528" wp14:editId="13AE0345">
            <wp:extent cx="1365250" cy="819785"/>
            <wp:effectExtent l="0" t="0" r="0" b="0"/>
            <wp:docPr id="20" name="Picture 200"/>
            <wp:cNvGraphicFramePr/>
            <a:graphic xmlns:a="http://schemas.openxmlformats.org/drawingml/2006/main">
              <a:graphicData uri="http://schemas.openxmlformats.org/drawingml/2006/picture">
                <pic:pic xmlns:pic="http://schemas.openxmlformats.org/drawingml/2006/picture">
                  <pic:nvPicPr>
                    <pic:cNvPr id="20" name="Picture 200"/>
                    <pic:cNvPicPr/>
                  </pic:nvPicPr>
                  <pic:blipFill>
                    <a:blip r:embed="rId6" cstate="print"/>
                    <a:stretch>
                      <a:fillRect/>
                    </a:stretch>
                  </pic:blipFill>
                  <pic:spPr>
                    <a:xfrm>
                      <a:off x="0" y="0"/>
                      <a:ext cx="1365250" cy="819785"/>
                    </a:xfrm>
                    <a:prstGeom prst="rect">
                      <a:avLst/>
                    </a:prstGeom>
                  </pic:spPr>
                </pic:pic>
              </a:graphicData>
            </a:graphic>
          </wp:inline>
        </w:drawing>
      </w:r>
      <w:r>
        <w:rPr>
          <w:rFonts w:ascii="仿宋" w:eastAsia="仿宋" w:hAnsi="仿宋" w:cs="Times New Roman"/>
          <w:sz w:val="32"/>
          <w:szCs w:val="32"/>
        </w:rPr>
        <w:t xml:space="preserve">     通勤类             公务类            施工类 </w:t>
      </w:r>
    </w:p>
    <w:p w:rsidR="00BF07FE" w:rsidRDefault="00BF07FE" w:rsidP="00BF07FE">
      <w:pPr>
        <w:jc w:val="center"/>
        <w:rPr>
          <w:rFonts w:ascii="仿宋" w:eastAsia="仿宋" w:hAnsi="仿宋" w:cs="Times New Roman"/>
          <w:b/>
          <w:sz w:val="32"/>
          <w:szCs w:val="32"/>
        </w:rPr>
      </w:pPr>
      <w:r>
        <w:rPr>
          <w:rFonts w:ascii="仿宋" w:eastAsia="仿宋" w:hAnsi="仿宋" w:cs="Times New Roman"/>
          <w:b/>
          <w:sz w:val="32"/>
          <w:szCs w:val="32"/>
        </w:rPr>
        <w:lastRenderedPageBreak/>
        <w:t>第二章  车证办理</w:t>
      </w:r>
    </w:p>
    <w:p w:rsidR="00BF07FE" w:rsidRDefault="00BF07FE" w:rsidP="00BF07FE">
      <w:pPr>
        <w:ind w:firstLineChars="200" w:firstLine="640"/>
        <w:rPr>
          <w:rFonts w:ascii="仿宋" w:eastAsia="仿宋" w:hAnsi="仿宋" w:cs="Times New Roman"/>
          <w:sz w:val="32"/>
          <w:szCs w:val="32"/>
        </w:rPr>
      </w:pPr>
      <w:r>
        <w:rPr>
          <w:rFonts w:ascii="仿宋" w:eastAsia="仿宋" w:hAnsi="仿宋" w:cs="Times New Roman"/>
          <w:sz w:val="32"/>
          <w:szCs w:val="32"/>
        </w:rPr>
        <w:t xml:space="preserve">我校教职工可持校园卡并签署《电动自行车用户校园行驶承诺书》办理车证。 </w:t>
      </w:r>
    </w:p>
    <w:p w:rsidR="00BF07FE" w:rsidRDefault="00BF07FE" w:rsidP="00BF07FE">
      <w:pPr>
        <w:ind w:firstLineChars="200" w:firstLine="640"/>
        <w:rPr>
          <w:rFonts w:ascii="仿宋" w:eastAsia="仿宋" w:hAnsi="仿宋" w:cs="Times New Roman"/>
          <w:sz w:val="32"/>
          <w:szCs w:val="32"/>
        </w:rPr>
      </w:pPr>
      <w:r>
        <w:rPr>
          <w:rFonts w:ascii="仿宋" w:eastAsia="仿宋" w:hAnsi="仿宋" w:cs="Times New Roman"/>
          <w:sz w:val="32"/>
          <w:szCs w:val="32"/>
        </w:rPr>
        <w:t xml:space="preserve">各部门非我校在编人员车辆及施工车辆申请办理，个人签署《电动自行车用户校园行驶承诺书》，由各部门或施工单位安全工作负责人审核签字加盖部门公章后办理，每证收取 200 </w:t>
      </w:r>
      <w:proofErr w:type="gramStart"/>
      <w:r>
        <w:rPr>
          <w:rFonts w:ascii="仿宋" w:eastAsia="仿宋" w:hAnsi="仿宋" w:cs="Times New Roman"/>
          <w:sz w:val="32"/>
          <w:szCs w:val="32"/>
        </w:rPr>
        <w:t>元道路</w:t>
      </w:r>
      <w:proofErr w:type="gramEnd"/>
      <w:r>
        <w:rPr>
          <w:rFonts w:ascii="仿宋" w:eastAsia="仿宋" w:hAnsi="仿宋" w:cs="Times New Roman"/>
          <w:sz w:val="32"/>
          <w:szCs w:val="32"/>
        </w:rPr>
        <w:t xml:space="preserve">安全保证金，使用结束后无安全事故或纠纷凭车证退回保证金； </w:t>
      </w:r>
    </w:p>
    <w:p w:rsidR="00BF07FE" w:rsidRDefault="00BF07FE" w:rsidP="00BF07FE">
      <w:pPr>
        <w:ind w:firstLineChars="200" w:firstLine="640"/>
        <w:rPr>
          <w:rFonts w:ascii="仿宋" w:eastAsia="仿宋" w:hAnsi="仿宋" w:cs="Times New Roman"/>
          <w:sz w:val="32"/>
          <w:szCs w:val="32"/>
        </w:rPr>
      </w:pPr>
      <w:r>
        <w:rPr>
          <w:rFonts w:ascii="仿宋" w:eastAsia="仿宋" w:hAnsi="仿宋" w:cs="Times New Roman"/>
          <w:sz w:val="32"/>
          <w:szCs w:val="32"/>
        </w:rPr>
        <w:t xml:space="preserve">所有学生不予以办理车证，兼职辅导员参照教职工人员，由部门领导签字审核后办理； </w:t>
      </w:r>
    </w:p>
    <w:p w:rsidR="00BF07FE" w:rsidRDefault="00BF07FE" w:rsidP="00BF07FE">
      <w:pPr>
        <w:ind w:firstLineChars="200" w:firstLine="640"/>
        <w:rPr>
          <w:rFonts w:ascii="仿宋" w:eastAsia="仿宋" w:hAnsi="仿宋" w:cs="Times New Roman"/>
          <w:sz w:val="32"/>
          <w:szCs w:val="32"/>
        </w:rPr>
      </w:pPr>
      <w:r>
        <w:rPr>
          <w:rFonts w:ascii="仿宋" w:eastAsia="仿宋" w:hAnsi="仿宋" w:cs="Times New Roman"/>
          <w:sz w:val="32"/>
          <w:szCs w:val="32"/>
        </w:rPr>
        <w:t>其它校外人员车辆不予办理。</w:t>
      </w:r>
    </w:p>
    <w:p w:rsidR="00BF07FE" w:rsidRDefault="00BF07FE" w:rsidP="00BF07FE">
      <w:pPr>
        <w:rPr>
          <w:rFonts w:ascii="仿宋" w:eastAsia="仿宋" w:hAnsi="仿宋" w:cs="Times New Roman"/>
          <w:sz w:val="32"/>
          <w:szCs w:val="32"/>
        </w:rPr>
      </w:pPr>
    </w:p>
    <w:p w:rsidR="00BF07FE" w:rsidRDefault="00BF07FE" w:rsidP="00BF07FE">
      <w:pPr>
        <w:jc w:val="center"/>
        <w:rPr>
          <w:rFonts w:ascii="仿宋" w:eastAsia="仿宋" w:hAnsi="仿宋" w:cs="Times New Roman"/>
          <w:b/>
          <w:sz w:val="32"/>
          <w:szCs w:val="32"/>
        </w:rPr>
      </w:pPr>
      <w:r>
        <w:rPr>
          <w:rFonts w:ascii="仿宋" w:eastAsia="仿宋" w:hAnsi="仿宋" w:cs="Times New Roman"/>
          <w:b/>
          <w:sz w:val="32"/>
          <w:szCs w:val="32"/>
        </w:rPr>
        <w:t>第三章  通行区域</w:t>
      </w:r>
    </w:p>
    <w:p w:rsidR="00BF07FE" w:rsidRDefault="00BF07FE" w:rsidP="00BF07FE">
      <w:pPr>
        <w:ind w:firstLineChars="200" w:firstLine="640"/>
        <w:rPr>
          <w:rFonts w:ascii="仿宋" w:eastAsia="仿宋" w:hAnsi="仿宋" w:cs="Times New Roman"/>
          <w:sz w:val="32"/>
          <w:szCs w:val="32"/>
        </w:rPr>
      </w:pPr>
      <w:r>
        <w:rPr>
          <w:rFonts w:ascii="仿宋" w:eastAsia="仿宋" w:hAnsi="仿宋" w:cs="Times New Roman"/>
          <w:sz w:val="32"/>
          <w:szCs w:val="32"/>
        </w:rPr>
        <w:t xml:space="preserve">八、所有电动自行车均可从校区南门、东门进出校区。 </w:t>
      </w:r>
    </w:p>
    <w:p w:rsidR="00BF07FE" w:rsidRDefault="00BF07FE" w:rsidP="00BF07FE">
      <w:pPr>
        <w:ind w:firstLineChars="200" w:firstLine="640"/>
        <w:rPr>
          <w:rFonts w:ascii="仿宋" w:eastAsia="仿宋" w:hAnsi="仿宋" w:cs="Times New Roman"/>
          <w:sz w:val="32"/>
          <w:szCs w:val="32"/>
        </w:rPr>
      </w:pPr>
      <w:r>
        <w:rPr>
          <w:rFonts w:ascii="仿宋" w:eastAsia="仿宋" w:hAnsi="仿宋" w:cs="Times New Roman"/>
          <w:sz w:val="32"/>
          <w:szCs w:val="32"/>
        </w:rPr>
        <w:t xml:space="preserve">通勤类电动自行车进入校门后，就近停放于校门附近指定的电动自行车停车场，不得在校区内行驶。 </w:t>
      </w:r>
    </w:p>
    <w:p w:rsidR="00BF07FE" w:rsidRDefault="00BF07FE" w:rsidP="00BF07FE">
      <w:pPr>
        <w:ind w:firstLineChars="200" w:firstLine="640"/>
        <w:rPr>
          <w:rFonts w:ascii="仿宋" w:eastAsia="仿宋" w:hAnsi="仿宋" w:cs="Times New Roman"/>
          <w:sz w:val="32"/>
          <w:szCs w:val="32"/>
        </w:rPr>
      </w:pPr>
      <w:r>
        <w:rPr>
          <w:rFonts w:ascii="仿宋" w:eastAsia="仿宋" w:hAnsi="仿宋" w:cs="Times New Roman"/>
          <w:sz w:val="32"/>
          <w:szCs w:val="32"/>
        </w:rPr>
        <w:t xml:space="preserve">公务类电动车仅用于校内处理公共事务性工作，通常不能驶离校区，特殊情况下提前向保卫处报备，方可进出校门。 </w:t>
      </w:r>
    </w:p>
    <w:p w:rsidR="00BF07FE" w:rsidRDefault="00BF07FE" w:rsidP="00BF07FE">
      <w:pPr>
        <w:ind w:firstLineChars="200" w:firstLine="640"/>
        <w:rPr>
          <w:rFonts w:ascii="仿宋" w:eastAsia="仿宋" w:hAnsi="仿宋" w:cs="Times New Roman"/>
          <w:sz w:val="32"/>
          <w:szCs w:val="32"/>
        </w:rPr>
      </w:pPr>
      <w:r>
        <w:rPr>
          <w:rFonts w:ascii="仿宋" w:eastAsia="仿宋" w:hAnsi="仿宋" w:cs="Times New Roman"/>
          <w:sz w:val="32"/>
          <w:szCs w:val="32"/>
        </w:rPr>
        <w:t xml:space="preserve">施工类电动自行车根据施工需要可自行出入校门及在校区内通行（校内管控区域，需提前向保卫处报备）。 </w:t>
      </w:r>
    </w:p>
    <w:p w:rsidR="00BF07FE" w:rsidRDefault="00BF07FE" w:rsidP="00BF07FE">
      <w:pPr>
        <w:ind w:firstLineChars="200" w:firstLine="640"/>
        <w:rPr>
          <w:rFonts w:ascii="仿宋" w:eastAsia="仿宋" w:hAnsi="仿宋" w:cs="Times New Roman"/>
          <w:sz w:val="32"/>
          <w:szCs w:val="32"/>
        </w:rPr>
      </w:pPr>
      <w:r>
        <w:rPr>
          <w:rFonts w:ascii="仿宋" w:eastAsia="仿宋" w:hAnsi="仿宋" w:cs="Times New Roman"/>
          <w:sz w:val="32"/>
          <w:szCs w:val="32"/>
        </w:rPr>
        <w:t xml:space="preserve">所有电动自行车须按照规定停放在指定停车场。 </w:t>
      </w:r>
    </w:p>
    <w:p w:rsidR="00BF07FE" w:rsidRDefault="00BF07FE" w:rsidP="00BF07FE">
      <w:pPr>
        <w:ind w:firstLineChars="200" w:firstLine="640"/>
        <w:rPr>
          <w:rFonts w:ascii="仿宋" w:eastAsia="仿宋" w:hAnsi="仿宋" w:cs="Times New Roman"/>
          <w:sz w:val="32"/>
          <w:szCs w:val="32"/>
        </w:rPr>
      </w:pPr>
    </w:p>
    <w:p w:rsidR="00BF07FE" w:rsidRDefault="00BF07FE" w:rsidP="00BF07FE">
      <w:pPr>
        <w:jc w:val="center"/>
        <w:rPr>
          <w:rFonts w:ascii="仿宋" w:eastAsia="仿宋" w:hAnsi="仿宋" w:cs="Times New Roman"/>
          <w:b/>
          <w:sz w:val="32"/>
          <w:szCs w:val="32"/>
        </w:rPr>
      </w:pPr>
      <w:r>
        <w:rPr>
          <w:rFonts w:ascii="仿宋" w:eastAsia="仿宋" w:hAnsi="仿宋" w:cs="Times New Roman"/>
          <w:b/>
          <w:sz w:val="32"/>
          <w:szCs w:val="32"/>
        </w:rPr>
        <w:lastRenderedPageBreak/>
        <w:t>第四章  充电管理</w:t>
      </w:r>
    </w:p>
    <w:p w:rsidR="00BF07FE" w:rsidRDefault="00BF07FE" w:rsidP="00BF07FE">
      <w:pPr>
        <w:ind w:firstLineChars="200" w:firstLine="640"/>
        <w:rPr>
          <w:rFonts w:ascii="仿宋" w:eastAsia="仿宋" w:hAnsi="仿宋" w:cs="Times New Roman"/>
          <w:sz w:val="32"/>
          <w:szCs w:val="32"/>
        </w:rPr>
      </w:pPr>
      <w:r>
        <w:rPr>
          <w:rFonts w:ascii="仿宋" w:eastAsia="仿宋" w:hAnsi="仿宋" w:cs="Times New Roman"/>
          <w:sz w:val="32"/>
          <w:szCs w:val="32"/>
        </w:rPr>
        <w:t xml:space="preserve">十三、电动自行车充电必须符合相关安全规范，确保安全。十四、通勤类电动车严禁在校内充电。 </w:t>
      </w:r>
    </w:p>
    <w:p w:rsidR="00BF07FE" w:rsidRDefault="00BF07FE" w:rsidP="00BF07FE">
      <w:pPr>
        <w:ind w:firstLineChars="200" w:firstLine="640"/>
        <w:rPr>
          <w:rFonts w:ascii="仿宋" w:eastAsia="仿宋" w:hAnsi="仿宋" w:cs="Times New Roman"/>
          <w:sz w:val="32"/>
          <w:szCs w:val="32"/>
        </w:rPr>
      </w:pPr>
      <w:r>
        <w:rPr>
          <w:rFonts w:ascii="仿宋" w:eastAsia="仿宋" w:hAnsi="仿宋" w:cs="Times New Roman"/>
          <w:sz w:val="32"/>
          <w:szCs w:val="32"/>
        </w:rPr>
        <w:t xml:space="preserve">公务类电动车充电需在指定停车场进行，严禁在校区其他场所充电。 </w:t>
      </w:r>
    </w:p>
    <w:p w:rsidR="00BF07FE" w:rsidRDefault="00BF07FE" w:rsidP="00BF07FE">
      <w:pPr>
        <w:ind w:firstLineChars="200" w:firstLine="640"/>
        <w:rPr>
          <w:rFonts w:ascii="仿宋" w:eastAsia="仿宋" w:hAnsi="仿宋" w:cs="Times New Roman"/>
          <w:sz w:val="32"/>
          <w:szCs w:val="32"/>
        </w:rPr>
      </w:pPr>
      <w:r>
        <w:rPr>
          <w:rFonts w:ascii="仿宋" w:eastAsia="仿宋" w:hAnsi="仿宋" w:cs="Times New Roman"/>
          <w:sz w:val="32"/>
          <w:szCs w:val="32"/>
        </w:rPr>
        <w:t xml:space="preserve">施工类电动车充电在所属建筑公司工区或其办公区内进行。 </w:t>
      </w:r>
    </w:p>
    <w:p w:rsidR="00BF07FE" w:rsidRDefault="00BF07FE" w:rsidP="00BF07FE">
      <w:pPr>
        <w:ind w:firstLineChars="200" w:firstLine="640"/>
        <w:rPr>
          <w:rFonts w:ascii="仿宋" w:eastAsia="仿宋" w:hAnsi="仿宋" w:cs="Times New Roman"/>
          <w:sz w:val="32"/>
          <w:szCs w:val="32"/>
        </w:rPr>
      </w:pPr>
    </w:p>
    <w:p w:rsidR="00BF07FE" w:rsidRDefault="00BF07FE" w:rsidP="00BF07FE">
      <w:pPr>
        <w:jc w:val="center"/>
        <w:rPr>
          <w:rFonts w:ascii="仿宋" w:eastAsia="仿宋" w:hAnsi="仿宋" w:cs="Times New Roman"/>
          <w:b/>
          <w:sz w:val="32"/>
          <w:szCs w:val="32"/>
        </w:rPr>
      </w:pPr>
      <w:r>
        <w:rPr>
          <w:rFonts w:ascii="仿宋" w:eastAsia="仿宋" w:hAnsi="仿宋" w:cs="Times New Roman"/>
          <w:b/>
          <w:sz w:val="32"/>
          <w:szCs w:val="32"/>
        </w:rPr>
        <w:t>第五章  通行管理</w:t>
      </w:r>
    </w:p>
    <w:p w:rsidR="00BF07FE" w:rsidRDefault="00BF07FE" w:rsidP="00BF07FE">
      <w:pPr>
        <w:ind w:firstLineChars="200" w:firstLine="640"/>
        <w:rPr>
          <w:rFonts w:ascii="仿宋" w:eastAsia="仿宋" w:hAnsi="仿宋" w:cs="Times New Roman"/>
          <w:sz w:val="32"/>
          <w:szCs w:val="32"/>
        </w:rPr>
      </w:pPr>
      <w:r>
        <w:rPr>
          <w:rFonts w:ascii="仿宋" w:eastAsia="仿宋" w:hAnsi="仿宋" w:cs="Times New Roman"/>
          <w:sz w:val="32"/>
          <w:szCs w:val="32"/>
        </w:rPr>
        <w:t xml:space="preserve">十七、严禁无证电动自行车进入校园或在校园内通行。 </w:t>
      </w:r>
    </w:p>
    <w:p w:rsidR="00BF07FE" w:rsidRDefault="00BF07FE" w:rsidP="00BF07FE">
      <w:pPr>
        <w:ind w:firstLineChars="200" w:firstLine="640"/>
        <w:rPr>
          <w:rFonts w:ascii="仿宋" w:eastAsia="仿宋" w:hAnsi="仿宋" w:cs="Times New Roman"/>
          <w:sz w:val="32"/>
          <w:szCs w:val="32"/>
        </w:rPr>
      </w:pPr>
      <w:r>
        <w:rPr>
          <w:rFonts w:ascii="仿宋" w:eastAsia="仿宋" w:hAnsi="仿宋" w:cs="Times New Roman"/>
          <w:sz w:val="32"/>
          <w:szCs w:val="32"/>
        </w:rPr>
        <w:t xml:space="preserve">所有电动自行车必须持证（号牌安装在电动自行车显著位置）通行、安全行驶，时速不得超过20KM/小时。 </w:t>
      </w:r>
    </w:p>
    <w:p w:rsidR="00BF07FE" w:rsidRDefault="00BF07FE" w:rsidP="00BF07FE">
      <w:pPr>
        <w:ind w:firstLineChars="200" w:firstLine="640"/>
        <w:rPr>
          <w:rFonts w:ascii="仿宋" w:eastAsia="仿宋" w:hAnsi="仿宋" w:cs="Times New Roman"/>
          <w:sz w:val="32"/>
          <w:szCs w:val="32"/>
        </w:rPr>
      </w:pPr>
      <w:r>
        <w:rPr>
          <w:rFonts w:ascii="仿宋" w:eastAsia="仿宋" w:hAnsi="仿宋" w:cs="Times New Roman"/>
          <w:sz w:val="32"/>
          <w:szCs w:val="32"/>
        </w:rPr>
        <w:t xml:space="preserve">电动自行车在校内通行，严禁从事外卖、拉客、散发传单等活动。 </w:t>
      </w:r>
    </w:p>
    <w:p w:rsidR="00BF07FE" w:rsidRDefault="00BF07FE" w:rsidP="00BF07FE">
      <w:pPr>
        <w:ind w:firstLineChars="200" w:firstLine="640"/>
        <w:rPr>
          <w:rFonts w:ascii="仿宋" w:eastAsia="仿宋" w:hAnsi="仿宋" w:cs="Times New Roman"/>
          <w:sz w:val="32"/>
          <w:szCs w:val="32"/>
        </w:rPr>
      </w:pPr>
      <w:r>
        <w:rPr>
          <w:rFonts w:ascii="仿宋" w:eastAsia="仿宋" w:hAnsi="仿宋" w:cs="Times New Roman"/>
          <w:sz w:val="32"/>
          <w:szCs w:val="32"/>
        </w:rPr>
        <w:t xml:space="preserve">电动自行车必须在校区规定区域内通行，服从保卫处及执勤保安指挥。 </w:t>
      </w:r>
    </w:p>
    <w:p w:rsidR="00BF07FE" w:rsidRDefault="00BF07FE" w:rsidP="00BF07FE">
      <w:pPr>
        <w:ind w:firstLineChars="200" w:firstLine="640"/>
        <w:rPr>
          <w:rFonts w:ascii="仿宋" w:eastAsia="仿宋" w:hAnsi="仿宋" w:cs="Times New Roman"/>
          <w:sz w:val="32"/>
          <w:szCs w:val="32"/>
        </w:rPr>
      </w:pPr>
      <w:r>
        <w:rPr>
          <w:rFonts w:ascii="仿宋" w:eastAsia="仿宋" w:hAnsi="仿宋" w:cs="Times New Roman"/>
          <w:sz w:val="32"/>
          <w:szCs w:val="32"/>
        </w:rPr>
        <w:t xml:space="preserve">所有电动自行车所有人（所属单位）均需签订安全责任书，发生问题一切后果均由所有人（所属单位）负责。 </w:t>
      </w:r>
    </w:p>
    <w:p w:rsidR="00BF07FE" w:rsidRDefault="00BF07FE" w:rsidP="00BF07FE">
      <w:pPr>
        <w:ind w:firstLineChars="200" w:firstLine="640"/>
        <w:rPr>
          <w:rFonts w:ascii="仿宋" w:eastAsia="仿宋" w:hAnsi="仿宋" w:cs="Times New Roman"/>
          <w:sz w:val="32"/>
          <w:szCs w:val="32"/>
        </w:rPr>
      </w:pPr>
      <w:r>
        <w:rPr>
          <w:rFonts w:ascii="仿宋" w:eastAsia="仿宋" w:hAnsi="仿宋" w:cs="Times New Roman"/>
          <w:sz w:val="32"/>
          <w:szCs w:val="32"/>
        </w:rPr>
        <w:t xml:space="preserve">临时外来电动自行车通行管理同通勤类电动自行车。 </w:t>
      </w:r>
    </w:p>
    <w:p w:rsidR="00302244" w:rsidRPr="00BF07FE" w:rsidRDefault="00BF07FE" w:rsidP="00BF07FE">
      <w:pPr>
        <w:ind w:firstLineChars="200" w:firstLine="640"/>
        <w:rPr>
          <w:rFonts w:ascii="仿宋" w:eastAsia="仿宋" w:hAnsi="仿宋" w:cs="Times New Roman" w:hint="eastAsia"/>
          <w:sz w:val="32"/>
          <w:szCs w:val="32"/>
        </w:rPr>
      </w:pPr>
      <w:r>
        <w:rPr>
          <w:rFonts w:ascii="仿宋" w:eastAsia="仿宋" w:hAnsi="仿宋" w:cs="Times New Roman"/>
          <w:sz w:val="32"/>
          <w:szCs w:val="32"/>
        </w:rPr>
        <w:t>所有电动车须按照有关规定通行、停放，不执行规定者或不服从管理者，保卫处有权依规进行严肃处理。本办法由保卫处负责解释，自公布之日起执行。</w:t>
      </w:r>
      <w:bookmarkStart w:id="1" w:name="_GoBack"/>
      <w:bookmarkEnd w:id="1"/>
    </w:p>
    <w:sectPr w:rsidR="00302244" w:rsidRPr="00BF07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FE"/>
    <w:rsid w:val="00302244"/>
    <w:rsid w:val="00BF0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FA4E8-2AAA-49B2-9A72-14845CEC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7FE"/>
    <w:pPr>
      <w:widowControl w:val="0"/>
      <w:jc w:val="both"/>
    </w:pPr>
  </w:style>
  <w:style w:type="paragraph" w:styleId="1">
    <w:name w:val="heading 1"/>
    <w:next w:val="a"/>
    <w:link w:val="1Char"/>
    <w:uiPriority w:val="9"/>
    <w:unhideWhenUsed/>
    <w:qFormat/>
    <w:rsid w:val="00BF07FE"/>
    <w:pPr>
      <w:keepNext/>
      <w:keepLines/>
      <w:spacing w:line="259" w:lineRule="auto"/>
      <w:ind w:right="46"/>
      <w:jc w:val="center"/>
      <w:outlineLvl w:val="0"/>
    </w:pPr>
    <w:rPr>
      <w:rFonts w:ascii="仿宋" w:eastAsia="仿宋" w:hAnsi="仿宋" w:cs="仿宋"/>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BF07FE"/>
    <w:rPr>
      <w:rFonts w:ascii="仿宋" w:eastAsia="仿宋" w:hAnsi="仿宋" w:cs="仿宋"/>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183</Words>
  <Characters>1046</Characters>
  <Application>Microsoft Office Word</Application>
  <DocSecurity>0</DocSecurity>
  <Lines>8</Lines>
  <Paragraphs>2</Paragraphs>
  <ScaleCrop>false</ScaleCrop>
  <Company>北京化工大学</Company>
  <LinksUpToDate>false</LinksUpToDate>
  <CharactersWithSpaces>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cyy</dc:creator>
  <cp:keywords/>
  <dc:description/>
  <cp:lastModifiedBy>cyy</cp:lastModifiedBy>
  <cp:revision>1</cp:revision>
  <dcterms:created xsi:type="dcterms:W3CDTF">2018-12-24T06:17:00Z</dcterms:created>
  <dcterms:modified xsi:type="dcterms:W3CDTF">2018-12-24T06:18:00Z</dcterms:modified>
</cp:coreProperties>
</file>